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64E11" w14:textId="77777777" w:rsidR="005715E3" w:rsidRDefault="005715E3" w:rsidP="00BC0B61">
      <w:pPr>
        <w:ind w:right="360"/>
        <w:sectPr w:rsidR="005715E3" w:rsidSect="00FC1575">
          <w:headerReference w:type="default" r:id="rId7"/>
          <w:footerReference w:type="default" r:id="rId8"/>
          <w:type w:val="continuous"/>
          <w:pgSz w:w="12600" w:h="16200"/>
          <w:pgMar w:top="360" w:right="1080" w:bottom="720" w:left="1080" w:header="720" w:footer="240" w:gutter="0"/>
          <w:cols w:space="40"/>
          <w:docGrid w:linePitch="299"/>
        </w:sectPr>
      </w:pPr>
    </w:p>
    <w:p w14:paraId="30DDAD68" w14:textId="77777777" w:rsidR="00E0630C" w:rsidRPr="0010274A" w:rsidRDefault="00E0630C" w:rsidP="00E0630C">
      <w:pPr>
        <w:jc w:val="center"/>
        <w:rPr>
          <w:b/>
          <w:sz w:val="24"/>
          <w:szCs w:val="24"/>
        </w:rPr>
      </w:pPr>
      <w:r w:rsidRPr="0010274A">
        <w:rPr>
          <w:b/>
          <w:sz w:val="24"/>
          <w:szCs w:val="24"/>
        </w:rPr>
        <w:t>PRINCE GEORGE’S COUNTY COUNCIL</w:t>
      </w:r>
    </w:p>
    <w:p w14:paraId="43523058" w14:textId="77777777" w:rsidR="00E0630C" w:rsidRPr="0010274A" w:rsidRDefault="00E0630C" w:rsidP="00E0630C">
      <w:pPr>
        <w:jc w:val="center"/>
        <w:rPr>
          <w:b/>
          <w:sz w:val="24"/>
          <w:szCs w:val="24"/>
        </w:rPr>
      </w:pPr>
      <w:r w:rsidRPr="0010274A">
        <w:rPr>
          <w:b/>
          <w:sz w:val="24"/>
          <w:szCs w:val="24"/>
        </w:rPr>
        <w:t>FOOD SECURITY TASK FORCE</w:t>
      </w:r>
    </w:p>
    <w:p w14:paraId="43157756" w14:textId="77777777" w:rsidR="00E0630C" w:rsidRPr="0010274A" w:rsidRDefault="00E0630C" w:rsidP="00E0630C">
      <w:pPr>
        <w:jc w:val="center"/>
        <w:rPr>
          <w:b/>
          <w:sz w:val="24"/>
          <w:szCs w:val="24"/>
        </w:rPr>
      </w:pPr>
      <w:r w:rsidRPr="0010274A">
        <w:rPr>
          <w:b/>
          <w:sz w:val="24"/>
          <w:szCs w:val="24"/>
        </w:rPr>
        <w:t>MINUTES</w:t>
      </w:r>
    </w:p>
    <w:p w14:paraId="298FF024" w14:textId="77777777" w:rsidR="00E0630C" w:rsidRPr="0010274A" w:rsidRDefault="00E0630C" w:rsidP="00E0630C">
      <w:pPr>
        <w:jc w:val="center"/>
        <w:rPr>
          <w:sz w:val="24"/>
          <w:szCs w:val="24"/>
        </w:rPr>
      </w:pPr>
      <w:r w:rsidRPr="0010274A">
        <w:rPr>
          <w:sz w:val="24"/>
          <w:szCs w:val="24"/>
        </w:rPr>
        <w:t xml:space="preserve">October 2, 2020 </w:t>
      </w:r>
    </w:p>
    <w:p w14:paraId="11FC5D03" w14:textId="77777777" w:rsidR="00E0630C" w:rsidRDefault="00E0630C" w:rsidP="00E0630C">
      <w:pPr>
        <w:rPr>
          <w:sz w:val="24"/>
          <w:szCs w:val="24"/>
          <w:u w:val="single"/>
        </w:rPr>
      </w:pPr>
      <w:r w:rsidRPr="0010274A">
        <w:rPr>
          <w:sz w:val="24"/>
          <w:szCs w:val="24"/>
          <w:u w:val="single"/>
        </w:rPr>
        <w:t>Attendees</w:t>
      </w:r>
      <w:r>
        <w:rPr>
          <w:sz w:val="24"/>
          <w:szCs w:val="24"/>
          <w:u w:val="single"/>
        </w:rPr>
        <w:t>:</w:t>
      </w:r>
    </w:p>
    <w:p w14:paraId="1988FDF4" w14:textId="77777777" w:rsidR="00E0630C" w:rsidRPr="0010274A" w:rsidRDefault="00E0630C" w:rsidP="00E0630C">
      <w:pPr>
        <w:rPr>
          <w:sz w:val="24"/>
          <w:szCs w:val="24"/>
          <w:u w:val="single"/>
        </w:rPr>
      </w:pPr>
    </w:p>
    <w:p w14:paraId="37834685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color w:val="000000"/>
          <w:sz w:val="24"/>
          <w:szCs w:val="24"/>
        </w:rPr>
        <w:t xml:space="preserve">Council Member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Todd M. Turner, Chair</w:t>
      </w:r>
    </w:p>
    <w:p w14:paraId="42351DBB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color w:val="000000"/>
          <w:sz w:val="24"/>
          <w:szCs w:val="24"/>
        </w:rPr>
        <w:t xml:space="preserve">Council Member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Dannielle Glaros, Council Member, Sponsor</w:t>
      </w:r>
    </w:p>
    <w:p w14:paraId="0AC2585E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2" w:name="_heading=h.gjdgxs" w:colFirst="0" w:colLast="0"/>
      <w:bookmarkEnd w:id="2"/>
      <w:r w:rsidRPr="0010274A">
        <w:rPr>
          <w:rFonts w:ascii="Calibri" w:eastAsia="Calibri" w:hAnsi="Calibri" w:cs="Calibri"/>
          <w:color w:val="000000"/>
          <w:sz w:val="24"/>
          <w:szCs w:val="24"/>
        </w:rPr>
        <w:t>Dr. Deborah Archer, University of MD Extension</w:t>
      </w:r>
    </w:p>
    <w:p w14:paraId="5CC4C1EC" w14:textId="26EB6F92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Elana Belon-Butler, Department of Family Services</w:t>
      </w:r>
    </w:p>
    <w:p w14:paraId="03506849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Dr. William Campbell, Senior Pastor, Union Bethel AME Church</w:t>
      </w:r>
    </w:p>
    <w:p w14:paraId="3EBD5B10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Nicole Hall, Economic Development</w:t>
      </w:r>
    </w:p>
    <w:p w14:paraId="015B448B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Alexandra Harris, Office of Emergency Management</w:t>
      </w:r>
    </w:p>
    <w:p w14:paraId="256136CE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Dennis Lewis, Department of Social Services</w:t>
      </w:r>
    </w:p>
    <w:p w14:paraId="1D803A0E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Stacey Little, UM Capital Region Health</w:t>
      </w:r>
    </w:p>
    <w:p w14:paraId="5B3FF96C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Gail Livingstone, Deep Roots Farm</w:t>
      </w:r>
    </w:p>
    <w:p w14:paraId="40508D9F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Kimberly Rush Lynch, Soil Conservation District</w:t>
      </w:r>
    </w:p>
    <w:p w14:paraId="6D55E5C6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Maria Martin, Parks &amp; Recreation</w:t>
      </w:r>
    </w:p>
    <w:p w14:paraId="135CD50B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Roberto Melara, Capital Area Food Bank</w:t>
      </w:r>
    </w:p>
    <w:p w14:paraId="6B65C110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Aimee Olivo,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 xml:space="preserve">County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Council Representative</w:t>
      </w:r>
    </w:p>
    <w:p w14:paraId="39AC7A40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Kerriann Peart, County Executive Office</w:t>
      </w:r>
    </w:p>
    <w:p w14:paraId="28DAB168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Dr. Darlene Saunders, Department of Health</w:t>
      </w:r>
    </w:p>
    <w:p w14:paraId="68D4B98C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Joan Shorter, Prince George’s County Public Schools </w:t>
      </w:r>
    </w:p>
    <w:p w14:paraId="43DF16BC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Lindsay Smith, Metropolitan Washington Council of Governments</w:t>
      </w:r>
    </w:p>
    <w:p w14:paraId="60781332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Jon Wog</w:t>
      </w:r>
      <w:bookmarkStart w:id="3" w:name="_GoBack"/>
      <w:bookmarkEnd w:id="3"/>
      <w:r w:rsidRPr="0010274A">
        <w:rPr>
          <w:rFonts w:ascii="Calibri" w:eastAsia="Calibri" w:hAnsi="Calibri" w:cs="Calibri"/>
          <w:color w:val="000000"/>
          <w:sz w:val="24"/>
          <w:szCs w:val="24"/>
        </w:rPr>
        <w:t>man, Food Recovery Network</w:t>
      </w:r>
    </w:p>
    <w:p w14:paraId="79854A64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83C762" w14:textId="77777777" w:rsidR="00E0630C" w:rsidRPr="0010274A" w:rsidRDefault="00E0630C" w:rsidP="00E0630C">
      <w:pPr>
        <w:rPr>
          <w:sz w:val="24"/>
          <w:szCs w:val="24"/>
          <w:u w:val="single"/>
        </w:rPr>
      </w:pPr>
      <w:r w:rsidRPr="0010274A">
        <w:rPr>
          <w:sz w:val="24"/>
          <w:szCs w:val="24"/>
          <w:u w:val="single"/>
        </w:rPr>
        <w:t>Consultants</w:t>
      </w:r>
    </w:p>
    <w:p w14:paraId="1F84A131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Sydney Daigle, Institute for Public Health Innovation</w:t>
      </w:r>
    </w:p>
    <w:p w14:paraId="3E289D2F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Julia Groenfeldt, Prince George’s County Food Equity Council</w:t>
      </w:r>
    </w:p>
    <w:p w14:paraId="3722D962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Evelyn Kelly, Institute for Public Health Innovation</w:t>
      </w:r>
    </w:p>
    <w:p w14:paraId="4EFA5F1D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1FC58E" w14:textId="77777777" w:rsidR="00E0630C" w:rsidRPr="0010274A" w:rsidRDefault="00E0630C" w:rsidP="00E0630C">
      <w:pPr>
        <w:rPr>
          <w:sz w:val="24"/>
          <w:szCs w:val="24"/>
          <w:u w:val="single"/>
        </w:rPr>
      </w:pPr>
      <w:r w:rsidRPr="0010274A">
        <w:rPr>
          <w:sz w:val="24"/>
          <w:szCs w:val="24"/>
          <w:u w:val="single"/>
        </w:rPr>
        <w:t xml:space="preserve">Staff </w:t>
      </w:r>
    </w:p>
    <w:p w14:paraId="3BEAD99D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Tomeka Bumbry, Chief of Staff/Legislative Aide</w:t>
      </w:r>
    </w:p>
    <w:p w14:paraId="3BAB2DC8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Sandra Eubanks, Education &amp; Work force Development Committee Director</w:t>
      </w:r>
    </w:p>
    <w:p w14:paraId="31083204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Leroy Maddox, Legislative Officer</w:t>
      </w:r>
    </w:p>
    <w:p w14:paraId="22738D8F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Leonard Moses, Clerk’s Office</w:t>
      </w:r>
    </w:p>
    <w:p w14:paraId="460A7314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Sharon Williams, Administrative Aide</w:t>
      </w:r>
    </w:p>
    <w:p w14:paraId="19ED8EB9" w14:textId="77777777" w:rsidR="00E0630C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891B7C" w14:textId="77777777" w:rsidR="00E0630C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F03A71" w14:textId="77777777" w:rsidR="00E0630C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FEC516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DBB421" w14:textId="77777777" w:rsidR="00E0630C" w:rsidRPr="00E0630C" w:rsidRDefault="00E0630C" w:rsidP="00E0630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</w:rPr>
      </w:pPr>
      <w:r w:rsidRPr="00E0630C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 </w:t>
      </w:r>
      <w:r w:rsidRPr="00E0630C">
        <w:rPr>
          <w:rFonts w:ascii="Calibri" w:eastAsia="Calibri" w:hAnsi="Calibri" w:cs="Calibri"/>
          <w:b/>
          <w:color w:val="000000"/>
          <w:sz w:val="24"/>
          <w:szCs w:val="24"/>
        </w:rPr>
        <w:t>Task Force Chair Remarks</w:t>
      </w:r>
    </w:p>
    <w:p w14:paraId="709A5FB4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D567732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Chair Todd M. Turner called the first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 xml:space="preserve"> Prince George’s County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bookmarkStart w:id="4" w:name="_Hlk54802063"/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Food Security Task Force </w:t>
      </w:r>
      <w:bookmarkEnd w:id="4"/>
      <w:r>
        <w:rPr>
          <w:rFonts w:ascii="Calibri" w:eastAsia="Calibri" w:hAnsi="Calibri" w:cs="Calibri"/>
          <w:color w:val="000000"/>
          <w:sz w:val="24"/>
          <w:szCs w:val="24"/>
        </w:rPr>
        <w:t xml:space="preserve">(“FSTF or Task Force”)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meeting to order at approximately 1:00 pm.  Chair Turner introduced himself, staff, and consultants and welcomed the members.</w:t>
      </w:r>
    </w:p>
    <w:p w14:paraId="2927AE47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255B008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The Chair gave an overview of the charge of the task force, referencing CR-62-2020; the Continuing Resolution that established the task force.  He further stated that the task force is an integral part of the process by providing recommendations to create a healthy, equitable and sustainable food system in the County.  The task force is charged with providing a report to the Council on or before June 30, 2021; although the deadline for the report due date can be extended.</w:t>
      </w:r>
    </w:p>
    <w:p w14:paraId="5C4F25BB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3675677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Council Member Glaros, sponsor of the resolution, indicated that the 21-member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ask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orce included all the right partners at the table to promote food security.  It is Council Member Glaros’ goal that the members represented on the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ask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orce work more as partners, creating innovative solutions beyond the COVID-19 pandemic.  She further indicated that during the last budget work session, the Council allocated funding for a new position in the Department of Social Services to focus on food security.</w:t>
      </w:r>
    </w:p>
    <w:p w14:paraId="0E6D03C7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369607" w14:textId="77777777" w:rsidR="00E0630C" w:rsidRPr="0010274A" w:rsidRDefault="00E0630C" w:rsidP="00E0630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10274A">
        <w:rPr>
          <w:rFonts w:ascii="Calibri" w:eastAsia="Calibri" w:hAnsi="Calibri" w:cs="Calibri"/>
          <w:b/>
          <w:color w:val="000000"/>
          <w:sz w:val="24"/>
          <w:szCs w:val="24"/>
        </w:rPr>
        <w:t>Introduction of Task Force Members</w:t>
      </w:r>
    </w:p>
    <w:p w14:paraId="54264EE0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ACDA63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Task Force members introduced themselves sharing their roles and responsibilities and expectations of the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ask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orce. </w:t>
      </w:r>
    </w:p>
    <w:p w14:paraId="6E430132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B91D753" w14:textId="77777777" w:rsidR="00E0630C" w:rsidRPr="0010274A" w:rsidRDefault="00E0630C" w:rsidP="00E0630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10274A">
        <w:rPr>
          <w:rFonts w:ascii="Calibri" w:eastAsia="Calibri" w:hAnsi="Calibri" w:cs="Calibri"/>
          <w:b/>
          <w:color w:val="000000"/>
          <w:sz w:val="24"/>
          <w:szCs w:val="24"/>
        </w:rPr>
        <w:t>Open Discussion</w:t>
      </w:r>
    </w:p>
    <w:p w14:paraId="44FE3DE1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98B974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The Open Discussion portion of the agenda was led by Sydney Daigle, Institute for Public Health Innovation, Program Manager.  Ms. Daigle utilized a PowerPoint presentation to discuss the following subject matters:</w:t>
      </w:r>
    </w:p>
    <w:p w14:paraId="460F7361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CA1AB7" w14:textId="77777777" w:rsidR="00E0630C" w:rsidRPr="0010274A" w:rsidRDefault="00E0630C" w:rsidP="00E0630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10274A">
        <w:rPr>
          <w:b/>
          <w:color w:val="000000"/>
          <w:sz w:val="24"/>
          <w:szCs w:val="24"/>
        </w:rPr>
        <w:t>Member expectations</w:t>
      </w:r>
      <w:r w:rsidRPr="0010274A">
        <w:rPr>
          <w:b/>
          <w:sz w:val="24"/>
          <w:szCs w:val="24"/>
        </w:rPr>
        <w:t xml:space="preserve">: </w:t>
      </w:r>
    </w:p>
    <w:p w14:paraId="396FCD73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Participate in FSTF meetings and subcommittee meetings.</w:t>
      </w:r>
    </w:p>
    <w:p w14:paraId="11298EFF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 xml:space="preserve">Contribute to the process and the development of FSTF action plan. </w:t>
      </w:r>
    </w:p>
    <w:p w14:paraId="025F746E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Identify solutions to any barriers to implementation of FSTF strategies.</w:t>
      </w:r>
    </w:p>
    <w:p w14:paraId="23023E62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Assist with information gathering in order to support prioritization and implementation of the action plan.</w:t>
      </w:r>
    </w:p>
    <w:p w14:paraId="282005B4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 xml:space="preserve">As appropriate, integrate and coordinate with other County-related efforts consistent with the action plan in order to expand reach and sustainability of the proposed strategies. </w:t>
      </w:r>
    </w:p>
    <w:p w14:paraId="6F879B89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Assist in the identification and recruitment of FSTF subcommittee members.</w:t>
      </w:r>
    </w:p>
    <w:p w14:paraId="4066CC1C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ind w:left="1500"/>
        <w:rPr>
          <w:sz w:val="24"/>
          <w:szCs w:val="24"/>
        </w:rPr>
      </w:pPr>
    </w:p>
    <w:p w14:paraId="42B11308" w14:textId="77777777" w:rsidR="00E0630C" w:rsidRPr="0010274A" w:rsidRDefault="00E0630C" w:rsidP="00E0630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10274A">
        <w:rPr>
          <w:b/>
          <w:color w:val="000000"/>
          <w:sz w:val="24"/>
          <w:szCs w:val="24"/>
        </w:rPr>
        <w:t>Goal &amp; Objectives</w:t>
      </w:r>
      <w:r w:rsidRPr="0010274A">
        <w:rPr>
          <w:b/>
          <w:sz w:val="24"/>
          <w:szCs w:val="24"/>
        </w:rPr>
        <w:t xml:space="preserve">: </w:t>
      </w:r>
    </w:p>
    <w:p w14:paraId="1E33F0FA" w14:textId="77777777" w:rsidR="00E0630C" w:rsidRPr="00E0630C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0630C">
        <w:rPr>
          <w:i/>
          <w:sz w:val="24"/>
          <w:szCs w:val="24"/>
          <w:u w:val="single"/>
        </w:rPr>
        <w:t>Goal</w:t>
      </w:r>
      <w:r w:rsidRPr="0010274A">
        <w:rPr>
          <w:sz w:val="24"/>
          <w:szCs w:val="24"/>
        </w:rPr>
        <w:t xml:space="preserve">: </w:t>
      </w:r>
      <w:r w:rsidRPr="0010274A">
        <w:rPr>
          <w:i/>
          <w:sz w:val="24"/>
          <w:szCs w:val="24"/>
        </w:rPr>
        <w:t xml:space="preserve">The goal of this </w:t>
      </w:r>
      <w:r>
        <w:rPr>
          <w:i/>
          <w:sz w:val="24"/>
          <w:szCs w:val="24"/>
        </w:rPr>
        <w:t>T</w:t>
      </w:r>
      <w:r w:rsidRPr="0010274A">
        <w:rPr>
          <w:i/>
          <w:sz w:val="24"/>
          <w:szCs w:val="24"/>
        </w:rPr>
        <w:t xml:space="preserve">ask </w:t>
      </w:r>
      <w:r>
        <w:rPr>
          <w:i/>
          <w:sz w:val="24"/>
          <w:szCs w:val="24"/>
        </w:rPr>
        <w:t>F</w:t>
      </w:r>
      <w:r w:rsidRPr="0010274A">
        <w:rPr>
          <w:i/>
          <w:sz w:val="24"/>
          <w:szCs w:val="24"/>
        </w:rPr>
        <w:t xml:space="preserve">orce is to develop and advance an action plan to improve the food security of residents, increase resilience in the food system, and ensure </w:t>
      </w:r>
      <w:r w:rsidRPr="0010274A">
        <w:rPr>
          <w:i/>
          <w:sz w:val="24"/>
          <w:szCs w:val="24"/>
        </w:rPr>
        <w:lastRenderedPageBreak/>
        <w:t>County preparedness to respond to food-security challenges due to future emergencies.</w:t>
      </w:r>
    </w:p>
    <w:p w14:paraId="49B05CD8" w14:textId="77777777" w:rsidR="00E0630C" w:rsidRPr="0010274A" w:rsidRDefault="00E0630C" w:rsidP="00E0630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DE6A2E3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E0630C">
        <w:rPr>
          <w:i/>
          <w:sz w:val="24"/>
          <w:szCs w:val="24"/>
          <w:u w:val="single"/>
        </w:rPr>
        <w:t>Objectives</w:t>
      </w:r>
      <w:r w:rsidRPr="0010274A">
        <w:rPr>
          <w:sz w:val="24"/>
          <w:szCs w:val="24"/>
        </w:rPr>
        <w:t>:</w:t>
      </w:r>
      <w:r w:rsidRPr="0010274A">
        <w:rPr>
          <w:sz w:val="24"/>
          <w:szCs w:val="24"/>
        </w:rPr>
        <w:tab/>
      </w:r>
      <w:r w:rsidRPr="0010274A">
        <w:rPr>
          <w:sz w:val="24"/>
          <w:szCs w:val="24"/>
        </w:rPr>
        <w:tab/>
      </w:r>
      <w:r w:rsidRPr="0010274A">
        <w:rPr>
          <w:sz w:val="24"/>
          <w:szCs w:val="24"/>
        </w:rPr>
        <w:tab/>
      </w:r>
      <w:r w:rsidRPr="0010274A">
        <w:rPr>
          <w:sz w:val="24"/>
          <w:szCs w:val="24"/>
        </w:rPr>
        <w:tab/>
      </w:r>
      <w:r w:rsidRPr="0010274A">
        <w:rPr>
          <w:sz w:val="24"/>
          <w:szCs w:val="24"/>
        </w:rPr>
        <w:tab/>
      </w:r>
      <w:r w:rsidRPr="0010274A">
        <w:rPr>
          <w:sz w:val="24"/>
          <w:szCs w:val="24"/>
        </w:rPr>
        <w:tab/>
      </w:r>
      <w:r w:rsidRPr="0010274A">
        <w:rPr>
          <w:sz w:val="24"/>
          <w:szCs w:val="24"/>
        </w:rPr>
        <w:tab/>
      </w:r>
      <w:r w:rsidRPr="0010274A">
        <w:rPr>
          <w:sz w:val="24"/>
          <w:szCs w:val="24"/>
        </w:rPr>
        <w:tab/>
      </w:r>
    </w:p>
    <w:p w14:paraId="64039ED4" w14:textId="77777777" w:rsidR="00E0630C" w:rsidRPr="0010274A" w:rsidRDefault="00E0630C" w:rsidP="00E0630C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Document and identify the most effective current food security and food system interventions related to the COVID-19 pandemic.</w:t>
      </w:r>
    </w:p>
    <w:p w14:paraId="79F105FA" w14:textId="77777777" w:rsidR="00E0630C" w:rsidRPr="0010274A" w:rsidRDefault="00E0630C" w:rsidP="00E0630C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Establish an evidence-base and data-driven approach to inform food security priorities and collective recommendations</w:t>
      </w:r>
    </w:p>
    <w:p w14:paraId="2E7F354B" w14:textId="77777777" w:rsidR="00E0630C" w:rsidRPr="0010274A" w:rsidRDefault="00E0630C" w:rsidP="00E0630C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Document lessons-learned from the County’s pandemic food security response to help inform the development and prioritization of strategies</w:t>
      </w:r>
    </w:p>
    <w:p w14:paraId="612C4042" w14:textId="77777777" w:rsidR="00E0630C" w:rsidRPr="0010274A" w:rsidRDefault="00E0630C" w:rsidP="00E0630C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Leverage collective resources and capacity to support effective COVID-19 food system and food security interventions</w:t>
      </w:r>
    </w:p>
    <w:p w14:paraId="79A9FEC9" w14:textId="77777777" w:rsidR="00E0630C" w:rsidRPr="0010274A" w:rsidRDefault="00E0630C" w:rsidP="00E0630C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Develop recommendations to bridge silos, ensure coordination, and minimize duplication on future food security interventions</w:t>
      </w:r>
    </w:p>
    <w:p w14:paraId="09A06AEC" w14:textId="77777777" w:rsidR="00E0630C" w:rsidRPr="0010274A" w:rsidRDefault="00E0630C" w:rsidP="00E0630C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Develop short and long-term recommendations to address food security priorities; ensure past recommendations and current interventions are considered</w:t>
      </w:r>
    </w:p>
    <w:p w14:paraId="6A32839F" w14:textId="77777777" w:rsidR="00E0630C" w:rsidRPr="0010274A" w:rsidRDefault="00E0630C" w:rsidP="00E0630C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Identify considerations for implementation and partners for short and long-term food security recommendations</w:t>
      </w:r>
    </w:p>
    <w:p w14:paraId="2EF06B31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84CF703" w14:textId="77777777" w:rsidR="00E0630C" w:rsidRPr="0010274A" w:rsidRDefault="00E0630C" w:rsidP="00E0630C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10274A">
        <w:rPr>
          <w:b/>
          <w:color w:val="000000"/>
          <w:sz w:val="24"/>
          <w:szCs w:val="24"/>
        </w:rPr>
        <w:t>Process &amp; Timelines</w:t>
      </w:r>
      <w:r w:rsidRPr="0010274A">
        <w:rPr>
          <w:b/>
          <w:sz w:val="24"/>
          <w:szCs w:val="24"/>
        </w:rPr>
        <w:t>:</w:t>
      </w:r>
    </w:p>
    <w:p w14:paraId="1BAD217B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October: Review the group priorities</w:t>
      </w:r>
    </w:p>
    <w:p w14:paraId="5BEA3B08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November: Present the data and evidence base</w:t>
      </w:r>
    </w:p>
    <w:p w14:paraId="43E78975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November-January: Briefings and expert presentations based on where group priorities and data intersect</w:t>
      </w:r>
    </w:p>
    <w:p w14:paraId="24912865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January-February: Develop short-term recommendations based on urgent needs related to COVID-19 pandemic</w:t>
      </w:r>
    </w:p>
    <w:p w14:paraId="6FC76AD4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February: Launch topical sub-committees</w:t>
      </w:r>
    </w:p>
    <w:p w14:paraId="505A3370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 xml:space="preserve">February-May: Develop long-term action and implementation plans </w:t>
      </w:r>
    </w:p>
    <w:p w14:paraId="2F74233C" w14:textId="77777777" w:rsidR="00E0630C" w:rsidRPr="0010274A" w:rsidRDefault="00E0630C" w:rsidP="00E0630C">
      <w:pPr>
        <w:widowControl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May-June: Draft report, approve as the FSTF, and brief County Council</w:t>
      </w:r>
    </w:p>
    <w:p w14:paraId="15787C95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ind w:left="780"/>
        <w:rPr>
          <w:color w:val="000000"/>
          <w:sz w:val="24"/>
          <w:szCs w:val="24"/>
        </w:rPr>
      </w:pPr>
    </w:p>
    <w:p w14:paraId="4A50140E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Group discussion centered around the following three questions with responses from the members:</w:t>
      </w:r>
    </w:p>
    <w:p w14:paraId="7D1E3233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78DBEC" w14:textId="77777777" w:rsidR="00E0630C" w:rsidRPr="0010274A" w:rsidRDefault="00E0630C" w:rsidP="00E0630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b/>
          <w:color w:val="000000"/>
          <w:sz w:val="24"/>
          <w:szCs w:val="24"/>
        </w:rPr>
        <w:t>Which communities and residents have experienced the heaviest/most severe food insecurity impacts related to COVID-19?</w:t>
      </w:r>
    </w:p>
    <w:p w14:paraId="599996EB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43F9953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10274A">
        <w:rPr>
          <w:sz w:val="24"/>
          <w:szCs w:val="24"/>
        </w:rPr>
        <w:t xml:space="preserve">Areas of need -- </w:t>
      </w:r>
      <w:r w:rsidRPr="0010274A">
        <w:rPr>
          <w:i/>
          <w:sz w:val="24"/>
          <w:szCs w:val="24"/>
        </w:rPr>
        <w:t>There are pockets in every district</w:t>
      </w:r>
    </w:p>
    <w:p w14:paraId="46E9EAD4" w14:textId="77777777" w:rsidR="00E0630C" w:rsidRPr="0010274A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Temple Hills</w:t>
      </w:r>
    </w:p>
    <w:p w14:paraId="16E2B397" w14:textId="77777777" w:rsidR="00E0630C" w:rsidRPr="0010274A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Oxon Hill</w:t>
      </w:r>
    </w:p>
    <w:p w14:paraId="121062E7" w14:textId="77777777" w:rsidR="00E0630C" w:rsidRPr="0010274A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Greater Riverdale</w:t>
      </w:r>
    </w:p>
    <w:p w14:paraId="19AEF07E" w14:textId="77777777" w:rsidR="00E0630C" w:rsidRPr="0010274A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Laurel</w:t>
      </w:r>
    </w:p>
    <w:p w14:paraId="674CCA91" w14:textId="77777777" w:rsidR="00E0630C" w:rsidRPr="0010274A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10274A">
        <w:rPr>
          <w:sz w:val="24"/>
          <w:szCs w:val="24"/>
        </w:rPr>
        <w:t>o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lmar Manor</w:t>
      </w:r>
    </w:p>
    <w:p w14:paraId="080410BE" w14:textId="77777777" w:rsidR="00E0630C" w:rsidRPr="00422659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Bladensburg</w:t>
      </w:r>
    </w:p>
    <w:p w14:paraId="1F030A5D" w14:textId="77777777" w:rsidR="00422659" w:rsidRPr="0010274A" w:rsidRDefault="00422659" w:rsidP="00422659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rPr>
          <w:sz w:val="24"/>
          <w:szCs w:val="24"/>
        </w:rPr>
      </w:pPr>
    </w:p>
    <w:p w14:paraId="52B1543F" w14:textId="77777777" w:rsidR="00E0630C" w:rsidRPr="0010274A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Capitol </w:t>
      </w:r>
      <w:r w:rsidRPr="0010274A">
        <w:rPr>
          <w:sz w:val="24"/>
          <w:szCs w:val="24"/>
        </w:rPr>
        <w:t>Heights</w:t>
      </w:r>
    </w:p>
    <w:p w14:paraId="77F9D325" w14:textId="77777777" w:rsidR="00E0630C" w:rsidRPr="0010274A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sz w:val="24"/>
          <w:szCs w:val="24"/>
        </w:rPr>
        <w:t>Langley-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Park</w:t>
      </w:r>
    </w:p>
    <w:p w14:paraId="46261F9D" w14:textId="77777777" w:rsidR="00E0630C" w:rsidRPr="0010274A" w:rsidRDefault="00E0630C" w:rsidP="00E0630C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sz w:val="24"/>
          <w:szCs w:val="24"/>
        </w:rPr>
        <w:t>District Heights</w:t>
      </w:r>
    </w:p>
    <w:p w14:paraId="3F97968A" w14:textId="77777777" w:rsidR="00E0630C" w:rsidRPr="0010274A" w:rsidRDefault="00E0630C" w:rsidP="004226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76F111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10274A">
        <w:rPr>
          <w:sz w:val="24"/>
          <w:szCs w:val="24"/>
        </w:rPr>
        <w:t xml:space="preserve">Communities: </w:t>
      </w:r>
    </w:p>
    <w:p w14:paraId="2F0AF736" w14:textId="77777777" w:rsidR="00E0630C" w:rsidRPr="0010274A" w:rsidRDefault="00E0630C" w:rsidP="00E0630C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sz w:val="24"/>
          <w:szCs w:val="24"/>
        </w:rPr>
        <w:t>I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mmigrant community</w:t>
      </w:r>
    </w:p>
    <w:p w14:paraId="52BAAAE2" w14:textId="77777777" w:rsidR="00E0630C" w:rsidRPr="0010274A" w:rsidRDefault="00E0630C" w:rsidP="00E0630C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sz w:val="24"/>
          <w:szCs w:val="24"/>
        </w:rPr>
        <w:t>Fr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ont line workers</w:t>
      </w:r>
    </w:p>
    <w:p w14:paraId="5E3A78E4" w14:textId="77777777" w:rsidR="00E0630C" w:rsidRPr="0010274A" w:rsidRDefault="00E0630C" w:rsidP="00E0630C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sz w:val="24"/>
          <w:szCs w:val="24"/>
        </w:rPr>
        <w:t>C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hild care/families with children</w:t>
      </w:r>
    </w:p>
    <w:p w14:paraId="043CA60A" w14:textId="77777777" w:rsidR="00E0630C" w:rsidRPr="0010274A" w:rsidRDefault="00E0630C" w:rsidP="00E0630C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sz w:val="24"/>
          <w:szCs w:val="24"/>
        </w:rPr>
        <w:t>R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estaurants community - </w:t>
      </w:r>
      <w:r w:rsidRPr="0010274A">
        <w:rPr>
          <w:sz w:val="24"/>
          <w:szCs w:val="24"/>
        </w:rPr>
        <w:t xml:space="preserve">Workers relying on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wages and tips</w:t>
      </w:r>
      <w:r w:rsidRPr="0010274A">
        <w:rPr>
          <w:sz w:val="24"/>
          <w:szCs w:val="24"/>
        </w:rPr>
        <w:t xml:space="preserve"> and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employees who are hourly are facing food insecurity and may not have resources such as childcare, at home learning.</w:t>
      </w:r>
    </w:p>
    <w:p w14:paraId="25BA6DA1" w14:textId="77777777" w:rsidR="00E0630C" w:rsidRPr="0010274A" w:rsidRDefault="00E0630C" w:rsidP="00E0630C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0274A">
        <w:rPr>
          <w:sz w:val="24"/>
          <w:szCs w:val="24"/>
        </w:rPr>
        <w:t xml:space="preserve">Residents on federal benefits </w:t>
      </w:r>
    </w:p>
    <w:p w14:paraId="7C0C8277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F60C4A" w14:textId="77777777" w:rsidR="00E0630C" w:rsidRPr="0010274A" w:rsidRDefault="00E0630C" w:rsidP="00E0630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b/>
          <w:color w:val="000000"/>
          <w:sz w:val="24"/>
          <w:szCs w:val="24"/>
        </w:rPr>
        <w:t>Based on your experience, what is the most pressing food security issue in Prince George’s County?</w:t>
      </w:r>
    </w:p>
    <w:p w14:paraId="28422C81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B21E7E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Transportation accessible</w:t>
      </w:r>
    </w:p>
    <w:p w14:paraId="05488226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Healthy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 and affordable food</w:t>
      </w:r>
    </w:p>
    <w:p w14:paraId="49B58C06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A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ccess to </w:t>
      </w:r>
      <w:r w:rsidRPr="0010274A">
        <w:rPr>
          <w:sz w:val="24"/>
          <w:szCs w:val="24"/>
        </w:rPr>
        <w:t>land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 and places to grow food</w:t>
      </w:r>
    </w:p>
    <w:p w14:paraId="54C9A010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L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ocally produced foods</w:t>
      </w:r>
    </w:p>
    <w:p w14:paraId="560E7681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M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otorized versus walkup food distribution (customer access)</w:t>
      </w:r>
    </w:p>
    <w:p w14:paraId="03E513E6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G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rab &amp; go meals</w:t>
      </w:r>
    </w:p>
    <w:p w14:paraId="06391AA7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P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rovider capacity (cold storage), staffing, regular distribution network</w:t>
      </w:r>
    </w:p>
    <w:p w14:paraId="57C01FB4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E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nrollment eligibility, coordination</w:t>
      </w:r>
      <w:r w:rsidRPr="0010274A">
        <w:rPr>
          <w:sz w:val="24"/>
          <w:szCs w:val="24"/>
        </w:rPr>
        <w:t xml:space="preserve">,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sustainability</w:t>
      </w:r>
      <w:r w:rsidRPr="0010274A">
        <w:rPr>
          <w:sz w:val="24"/>
          <w:szCs w:val="24"/>
        </w:rPr>
        <w:t xml:space="preserve">, and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financial sustainability</w:t>
      </w:r>
    </w:p>
    <w:p w14:paraId="008D2E96" w14:textId="77777777" w:rsidR="00E0630C" w:rsidRPr="0010274A" w:rsidRDefault="00E0630C" w:rsidP="00E0630C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720"/>
        <w:jc w:val="both"/>
        <w:rPr>
          <w:sz w:val="24"/>
          <w:szCs w:val="24"/>
        </w:rPr>
      </w:pPr>
      <w:r w:rsidRPr="0010274A">
        <w:rPr>
          <w:sz w:val="24"/>
          <w:szCs w:val="24"/>
        </w:rPr>
        <w:t>Senior meal delivery services and distribution for people with disabilities</w:t>
      </w:r>
    </w:p>
    <w:p w14:paraId="4340DD13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A6DFEAB" w14:textId="77777777" w:rsidR="00E0630C" w:rsidRPr="0010274A" w:rsidRDefault="00E0630C" w:rsidP="00E0630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b/>
          <w:color w:val="000000"/>
          <w:sz w:val="24"/>
          <w:szCs w:val="24"/>
        </w:rPr>
        <w:t xml:space="preserve">What issue do you want to learn more about and who do you want to learn it from?  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Due to time constraints, this topic was not fully discussed.  Members were asked to put their responses into chat.</w:t>
      </w:r>
    </w:p>
    <w:p w14:paraId="58CFA01D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</w:p>
    <w:p w14:paraId="303E6901" w14:textId="77777777" w:rsidR="00E0630C" w:rsidRPr="0010274A" w:rsidRDefault="00E0630C" w:rsidP="00E0630C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720"/>
        <w:rPr>
          <w:sz w:val="24"/>
          <w:szCs w:val="24"/>
        </w:rPr>
      </w:pPr>
      <w:r w:rsidRPr="0010274A">
        <w:rPr>
          <w:sz w:val="24"/>
          <w:szCs w:val="24"/>
        </w:rPr>
        <w:t>Montgomery County Food Council/Food Security Task Force (</w:t>
      </w:r>
      <w:r w:rsidR="00B57663">
        <w:rPr>
          <w:sz w:val="24"/>
          <w:szCs w:val="24"/>
        </w:rPr>
        <w:t>COG R</w:t>
      </w:r>
      <w:r w:rsidRPr="0010274A">
        <w:rPr>
          <w:sz w:val="24"/>
          <w:szCs w:val="24"/>
        </w:rPr>
        <w:t xml:space="preserve">egional </w:t>
      </w:r>
      <w:r w:rsidR="00B57663">
        <w:rPr>
          <w:sz w:val="24"/>
          <w:szCs w:val="24"/>
        </w:rPr>
        <w:t>Ta</w:t>
      </w:r>
      <w:r w:rsidRPr="0010274A">
        <w:rPr>
          <w:sz w:val="24"/>
          <w:szCs w:val="24"/>
        </w:rPr>
        <w:t xml:space="preserve">sk </w:t>
      </w:r>
      <w:r w:rsidR="00B57663">
        <w:rPr>
          <w:sz w:val="24"/>
          <w:szCs w:val="24"/>
        </w:rPr>
        <w:t>F</w:t>
      </w:r>
      <w:r w:rsidRPr="0010274A">
        <w:rPr>
          <w:sz w:val="24"/>
          <w:szCs w:val="24"/>
        </w:rPr>
        <w:t>orce)</w:t>
      </w:r>
    </w:p>
    <w:p w14:paraId="654F177D" w14:textId="77777777" w:rsidR="00E0630C" w:rsidRPr="0010274A" w:rsidRDefault="00E0630C" w:rsidP="00E0630C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720"/>
        <w:rPr>
          <w:sz w:val="24"/>
          <w:szCs w:val="24"/>
        </w:rPr>
      </w:pPr>
      <w:proofErr w:type="spellStart"/>
      <w:r w:rsidRPr="0010274A">
        <w:rPr>
          <w:sz w:val="24"/>
          <w:szCs w:val="24"/>
        </w:rPr>
        <w:t>Keany</w:t>
      </w:r>
      <w:proofErr w:type="spellEnd"/>
      <w:r w:rsidRPr="0010274A">
        <w:rPr>
          <w:sz w:val="24"/>
          <w:szCs w:val="24"/>
        </w:rPr>
        <w:t xml:space="preserve"> and other similar distributors, overview of grocery retail environment</w:t>
      </w:r>
    </w:p>
    <w:p w14:paraId="2645053B" w14:textId="77777777" w:rsidR="00E0630C" w:rsidRPr="0010274A" w:rsidRDefault="00E0630C" w:rsidP="00E0630C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720"/>
        <w:rPr>
          <w:sz w:val="24"/>
          <w:szCs w:val="24"/>
        </w:rPr>
      </w:pPr>
      <w:r w:rsidRPr="0010274A">
        <w:rPr>
          <w:sz w:val="24"/>
          <w:szCs w:val="24"/>
        </w:rPr>
        <w:t xml:space="preserve">Food assistance providers in the County </w:t>
      </w:r>
    </w:p>
    <w:p w14:paraId="40E674B6" w14:textId="77777777" w:rsidR="00E0630C" w:rsidRPr="0010274A" w:rsidRDefault="00E0630C" w:rsidP="00E0630C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720"/>
        <w:rPr>
          <w:sz w:val="24"/>
          <w:szCs w:val="24"/>
        </w:rPr>
      </w:pPr>
      <w:r w:rsidRPr="0010274A">
        <w:rPr>
          <w:sz w:val="24"/>
          <w:szCs w:val="24"/>
        </w:rPr>
        <w:t>Organizations working on urban farming and land use planning (Eco City Farms is working on urban farm incubator)</w:t>
      </w:r>
    </w:p>
    <w:p w14:paraId="64184082" w14:textId="77777777" w:rsidR="00E0630C" w:rsidRPr="0010274A" w:rsidRDefault="00E0630C" w:rsidP="00E0630C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720"/>
        <w:rPr>
          <w:sz w:val="24"/>
          <w:szCs w:val="24"/>
        </w:rPr>
      </w:pPr>
      <w:r w:rsidRPr="0010274A">
        <w:rPr>
          <w:sz w:val="24"/>
          <w:szCs w:val="24"/>
        </w:rPr>
        <w:t xml:space="preserve">The Office of Central Services </w:t>
      </w:r>
      <w:r w:rsidR="00B57663">
        <w:rPr>
          <w:sz w:val="24"/>
          <w:szCs w:val="24"/>
        </w:rPr>
        <w:t>role</w:t>
      </w:r>
    </w:p>
    <w:p w14:paraId="116FA5A1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31C245" w14:textId="77777777" w:rsidR="00E0630C" w:rsidRPr="0010274A" w:rsidRDefault="00E0630C" w:rsidP="00E0630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10274A">
        <w:rPr>
          <w:rFonts w:ascii="Calibri" w:eastAsia="Calibri" w:hAnsi="Calibri" w:cs="Calibri"/>
          <w:b/>
          <w:color w:val="000000"/>
          <w:sz w:val="24"/>
          <w:szCs w:val="24"/>
        </w:rPr>
        <w:t>Task Force Operations &amp; Meeting Schedule</w:t>
      </w:r>
    </w:p>
    <w:p w14:paraId="26F68E0F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B4A9BF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Chair Turner explained that the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ask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orce is an extension of the County Council and that certain practices should be in place; keeping staff informed of press inquiries.  A repository website has been designed for the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ask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orce.  Various information will be posted to the website, such as, legislation, agendas, minutes, reports, etc.  The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 xml:space="preserve">ask 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orce meetings fall under the Maryland Public Information Act, and therefore, are opened to the public</w:t>
      </w:r>
      <w:r w:rsidR="00B57663">
        <w:rPr>
          <w:rFonts w:ascii="Calibri" w:eastAsia="Calibri" w:hAnsi="Calibri" w:cs="Calibri"/>
          <w:color w:val="000000"/>
          <w:sz w:val="24"/>
          <w:szCs w:val="24"/>
        </w:rPr>
        <w:t xml:space="preserve"> and recorded</w:t>
      </w:r>
      <w:r w:rsidRPr="0010274A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CE0DC21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969AC5E" w14:textId="77777777" w:rsidR="00E0630C" w:rsidRPr="0010274A" w:rsidRDefault="00E0630C" w:rsidP="00E0630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b/>
          <w:color w:val="000000"/>
          <w:sz w:val="24"/>
          <w:szCs w:val="24"/>
        </w:rPr>
        <w:t>Next Meetings</w:t>
      </w:r>
    </w:p>
    <w:p w14:paraId="0606457A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9A41D0E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The Task Force will meet on the first Friday of each month.  The next scheduled meeting is on Friday, November 6, 2020 at 1:00 pm.</w:t>
      </w:r>
    </w:p>
    <w:p w14:paraId="67FB83B7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F8F752" w14:textId="77777777" w:rsidR="00E0630C" w:rsidRPr="0010274A" w:rsidRDefault="00E0630C" w:rsidP="00E0630C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b/>
          <w:color w:val="000000"/>
          <w:sz w:val="24"/>
          <w:szCs w:val="24"/>
        </w:rPr>
        <w:t xml:space="preserve"> Adjourn</w:t>
      </w:r>
    </w:p>
    <w:p w14:paraId="0834D797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3F6450" w14:textId="77777777" w:rsidR="00E0630C" w:rsidRPr="0010274A" w:rsidRDefault="00E0630C" w:rsidP="00E063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10274A">
        <w:rPr>
          <w:rFonts w:ascii="Calibri" w:eastAsia="Calibri" w:hAnsi="Calibri" w:cs="Calibri"/>
          <w:color w:val="000000"/>
          <w:sz w:val="24"/>
          <w:szCs w:val="24"/>
        </w:rPr>
        <w:t>The meeting adjourned at approximately 3:00 pm.</w:t>
      </w:r>
    </w:p>
    <w:p w14:paraId="10F85491" w14:textId="77777777" w:rsidR="00DE4E57" w:rsidRPr="00E90A27" w:rsidRDefault="00DE4E57" w:rsidP="00E90A27">
      <w:pPr>
        <w:jc w:val="both"/>
        <w:rPr>
          <w:rFonts w:ascii="Arial" w:hAnsi="Arial" w:cs="Arial"/>
          <w:sz w:val="24"/>
          <w:szCs w:val="24"/>
        </w:rPr>
      </w:pPr>
    </w:p>
    <w:sectPr w:rsidR="00DE4E57" w:rsidRPr="00E90A27" w:rsidSect="00C9336A">
      <w:headerReference w:type="default" r:id="rId9"/>
      <w:type w:val="continuous"/>
      <w:pgSz w:w="12600" w:h="16200"/>
      <w:pgMar w:top="360" w:right="1440" w:bottom="720" w:left="1440" w:header="720" w:footer="245" w:gutter="0"/>
      <w:cols w:space="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DDD84" w14:textId="77777777" w:rsidR="0062227E" w:rsidRDefault="0062227E" w:rsidP="00365F00">
      <w:r>
        <w:separator/>
      </w:r>
    </w:p>
  </w:endnote>
  <w:endnote w:type="continuationSeparator" w:id="0">
    <w:p w14:paraId="4928B4A1" w14:textId="77777777" w:rsidR="0062227E" w:rsidRDefault="0062227E" w:rsidP="0036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2B3890"/>
      </w:tblBorders>
      <w:tblLook w:val="04A0" w:firstRow="1" w:lastRow="0" w:firstColumn="1" w:lastColumn="0" w:noHBand="0" w:noVBand="1"/>
    </w:tblPr>
    <w:tblGrid>
      <w:gridCol w:w="5099"/>
      <w:gridCol w:w="5269"/>
    </w:tblGrid>
    <w:tr w:rsidR="002F52DD" w14:paraId="631F022A" w14:textId="77777777" w:rsidTr="009E1D96">
      <w:tc>
        <w:tcPr>
          <w:tcW w:w="5099" w:type="dxa"/>
        </w:tcPr>
        <w:p w14:paraId="01FFB9D0" w14:textId="77777777" w:rsidR="002F52DD" w:rsidRPr="00EA35B1" w:rsidRDefault="002F52DD" w:rsidP="002F52DD">
          <w:pPr>
            <w:pStyle w:val="Footer"/>
            <w:tabs>
              <w:tab w:val="left" w:pos="600"/>
              <w:tab w:val="right" w:pos="4883"/>
            </w:tabs>
            <w:rPr>
              <w:rFonts w:ascii="Avenir LT Std 35 Light" w:hAnsi="Avenir LT Std 35 Light"/>
              <w:sz w:val="18"/>
              <w:szCs w:val="18"/>
            </w:rPr>
          </w:pPr>
          <w:r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ab/>
          </w:r>
          <w:r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ab/>
          </w:r>
          <w:r w:rsidRPr="00EA35B1"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>Website:</w:t>
          </w: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 pgccouncil.us</w:t>
          </w:r>
          <w:r w:rsidR="009F4EAF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/District 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4</w:t>
          </w:r>
        </w:p>
      </w:tc>
      <w:tc>
        <w:tcPr>
          <w:tcW w:w="5269" w:type="dxa"/>
        </w:tcPr>
        <w:p w14:paraId="4A881F21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County Administration Building</w:t>
          </w:r>
        </w:p>
      </w:tc>
    </w:tr>
    <w:tr w:rsidR="002F52DD" w14:paraId="432A2FE8" w14:textId="77777777" w:rsidTr="009E1D96">
      <w:tc>
        <w:tcPr>
          <w:tcW w:w="5099" w:type="dxa"/>
        </w:tcPr>
        <w:p w14:paraId="37A2F98C" w14:textId="77777777" w:rsidR="002F52DD" w:rsidRPr="00EA35B1" w:rsidRDefault="0006628D" w:rsidP="002F52DD">
          <w:pPr>
            <w:pStyle w:val="Footer"/>
            <w:jc w:val="right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>Telephone: (301) 952-</w:t>
          </w:r>
          <w:r w:rsidR="00026530">
            <w:rPr>
              <w:rFonts w:ascii="Avenir LT Std 35 Light" w:hAnsi="Avenir LT Std 35 Light"/>
              <w:color w:val="2B3890"/>
              <w:sz w:val="18"/>
              <w:szCs w:val="18"/>
            </w:rPr>
            <w:t>3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094</w:t>
          </w:r>
        </w:p>
      </w:tc>
      <w:tc>
        <w:tcPr>
          <w:tcW w:w="5269" w:type="dxa"/>
        </w:tcPr>
        <w:p w14:paraId="024C461B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14741 Governor Oden Bowie Drive, 2nd Floor</w:t>
          </w:r>
        </w:p>
      </w:tc>
    </w:tr>
    <w:tr w:rsidR="002F52DD" w14:paraId="4F6D956B" w14:textId="77777777" w:rsidTr="009E1D96">
      <w:tc>
        <w:tcPr>
          <w:tcW w:w="5099" w:type="dxa"/>
        </w:tcPr>
        <w:p w14:paraId="447CB6AB" w14:textId="77777777" w:rsidR="002F52DD" w:rsidRPr="00EA35B1" w:rsidRDefault="0006628D" w:rsidP="002F52DD">
          <w:pPr>
            <w:pStyle w:val="Footer"/>
            <w:jc w:val="right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>Fax: (</w:t>
          </w:r>
          <w:r w:rsidR="004D6FF6">
            <w:rPr>
              <w:rFonts w:ascii="Avenir LT Std 35 Light" w:hAnsi="Avenir LT Std 35 Light"/>
              <w:color w:val="2B3890"/>
              <w:sz w:val="18"/>
              <w:szCs w:val="18"/>
            </w:rPr>
            <w:t>301</w:t>
          </w: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) </w:t>
          </w:r>
          <w:r w:rsidR="009F4EAF">
            <w:rPr>
              <w:rFonts w:ascii="Avenir LT Std 35 Light" w:hAnsi="Avenir LT Std 35 Light"/>
              <w:color w:val="2B3890"/>
              <w:sz w:val="18"/>
              <w:szCs w:val="18"/>
            </w:rPr>
            <w:t>952-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4910</w:t>
          </w:r>
        </w:p>
      </w:tc>
      <w:tc>
        <w:tcPr>
          <w:tcW w:w="5269" w:type="dxa"/>
        </w:tcPr>
        <w:p w14:paraId="7F78915D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Upper Marlboro, Maryland 20772</w:t>
          </w:r>
        </w:p>
      </w:tc>
    </w:tr>
  </w:tbl>
  <w:p w14:paraId="3A0A14CB" w14:textId="77777777" w:rsidR="002F52DD" w:rsidRDefault="002F52DD" w:rsidP="00EA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FB529" w14:textId="77777777" w:rsidR="0062227E" w:rsidRDefault="0062227E" w:rsidP="00365F00">
      <w:r>
        <w:separator/>
      </w:r>
    </w:p>
  </w:footnote>
  <w:footnote w:type="continuationSeparator" w:id="0">
    <w:p w14:paraId="59475EE6" w14:textId="77777777" w:rsidR="0062227E" w:rsidRDefault="0062227E" w:rsidP="0036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4D77" w14:textId="77777777" w:rsidR="00B0263D" w:rsidRDefault="001D059A" w:rsidP="001D059A">
    <w:pPr>
      <w:pStyle w:val="Heading1"/>
      <w:spacing w:line="200" w:lineRule="atLeast"/>
      <w:ind w:left="0" w:right="8190"/>
      <w:jc w:val="right"/>
      <w:rPr>
        <w:rFonts w:ascii="Times New Roman" w:eastAsia="Times New Roman" w:hAnsi="Times New Roman" w:cs="Times New Roman"/>
        <w:sz w:val="6"/>
        <w:szCs w:val="6"/>
      </w:rPr>
    </w:pPr>
    <w:bookmarkStart w:id="0" w:name="_Hlk532193377"/>
    <w:bookmarkStart w:id="1" w:name="_Hlk532193378"/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7B53CA" wp14:editId="5E4A50EF">
              <wp:simplePos x="0" y="0"/>
              <wp:positionH relativeFrom="column">
                <wp:posOffset>3131820</wp:posOffset>
              </wp:positionH>
              <wp:positionV relativeFrom="paragraph">
                <wp:posOffset>640080</wp:posOffset>
              </wp:positionV>
              <wp:extent cx="4098925" cy="268605"/>
              <wp:effectExtent l="0" t="0" r="0" b="1905"/>
              <wp:wrapSquare wrapText="bothSides"/>
              <wp:docPr id="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8925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7FEF5" w14:textId="77777777" w:rsidR="00030469" w:rsidRPr="003C1F10" w:rsidRDefault="003C1F10" w:rsidP="0006628D">
                          <w:pPr>
                            <w:spacing w:before="1" w:line="288" w:lineRule="exact"/>
                            <w:ind w:left="450" w:right="882"/>
                            <w:jc w:val="right"/>
                            <w:rPr>
                              <w:rFonts w:ascii="Avenir LT Std 35 Light" w:hAnsi="Avenir LT Std 35 Light"/>
                              <w:i/>
                              <w:color w:val="2B3890"/>
                              <w:w w:val="95"/>
                              <w:position w:val="1"/>
                              <w:sz w:val="20"/>
                              <w:szCs w:val="20"/>
                            </w:rPr>
                          </w:pPr>
                          <w:r w:rsidRPr="003C1F10">
                            <w:rPr>
                              <w:rFonts w:ascii="Arial" w:eastAsia="Arial" w:hAnsi="Arial" w:cs="Arial"/>
                              <w:b/>
                              <w:i/>
                              <w:color w:val="2B3890"/>
                              <w:sz w:val="24"/>
                            </w:rPr>
                            <w:t>Service.  Community.  Progress.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B53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6.6pt;margin-top:50.4pt;width:322.75pt;height:21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" stroked="f">
              <v:textbox>
                <w:txbxContent>
                  <w:p w14:paraId="2CF7FEF5" w14:textId="77777777" w:rsidR="00030469" w:rsidRPr="003C1F10" w:rsidRDefault="003C1F10" w:rsidP="0006628D">
                    <w:pPr>
                      <w:spacing w:before="1" w:line="288" w:lineRule="exact"/>
                      <w:ind w:left="450" w:right="882"/>
                      <w:jc w:val="right"/>
                      <w:rPr>
                        <w:rFonts w:ascii="Avenir LT Std 35 Light" w:hAnsi="Avenir LT Std 35 Light"/>
                        <w:i/>
                        <w:color w:val="2B3890"/>
                        <w:w w:val="95"/>
                        <w:position w:val="1"/>
                        <w:sz w:val="20"/>
                        <w:szCs w:val="20"/>
                      </w:rPr>
                    </w:pPr>
                    <w:r w:rsidRPr="003C1F10">
                      <w:rPr>
                        <w:rFonts w:ascii="Arial" w:eastAsia="Arial" w:hAnsi="Arial" w:cs="Arial"/>
                        <w:b/>
                        <w:i/>
                        <w:color w:val="2B3890"/>
                        <w:sz w:val="24"/>
                      </w:rPr>
                      <w:t>Service.  Community.  Progress.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40FD7E2" wp14:editId="4ED9EAFE">
              <wp:simplePos x="0" y="0"/>
              <wp:positionH relativeFrom="margin">
                <wp:align>left</wp:align>
              </wp:positionH>
              <wp:positionV relativeFrom="paragraph">
                <wp:posOffset>690245</wp:posOffset>
              </wp:positionV>
              <wp:extent cx="6675120" cy="1270"/>
              <wp:effectExtent l="0" t="0" r="0" b="0"/>
              <wp:wrapNone/>
              <wp:docPr id="36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5120" cy="1270"/>
                        <a:chOff x="1" y="1"/>
                        <a:chExt cx="10862" cy="2"/>
                      </a:xfrm>
                    </wpg:grpSpPr>
                    <wpg:grpSp>
                      <wpg:cNvPr id="362" name="Group 5"/>
                      <wpg:cNvGrpSpPr>
                        <a:grpSpLocks/>
                      </wpg:cNvGrpSpPr>
                      <wpg:grpSpPr bwMode="auto">
                        <a:xfrm>
                          <a:off x="1" y="1"/>
                          <a:ext cx="10862" cy="2"/>
                          <a:chOff x="1" y="1"/>
                          <a:chExt cx="10862" cy="2"/>
                        </a:xfrm>
                      </wpg:grpSpPr>
                      <wps:wsp>
                        <wps:cNvPr id="363" name="Freeform 6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862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1158"/>
                              <a:gd name="T2" fmla="+- 0 11158 1"/>
                              <a:gd name="T3" fmla="*/ T2 w 11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7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B38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415BC9" id="Group 4" o:spid="_x0000_s1026" style="position:absolute;margin-left:0;margin-top:54.35pt;width:525.6pt;height:.1pt;z-index:251657728;mso-position-horizontal:left;mso-position-horizontal-relative:margin" coordorigin="1,1" coordsize="108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">
              <v:group id="Group 5" o:spid="_x0000_s1027" style="position:absolute;left:1;top:1;width:10862;height:2" coordorigin="1,1" coordsize="10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<v:shape id="Freeform 6" o:spid="_x0000_s1028" style="position:absolute;left:1;top:1;width:10862;height:2;visibility:visible;mso-wrap-style:square;v-text-anchor:top" coordsize="11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" path="m,l11157,e" filled="f" strokecolor="#2b3890" strokeweight=".1pt">
                  <v:path arrowok="t" o:connecttype="custom" o:connectlocs="0,0;10861,0" o:connectangles="0,0"/>
                </v:shape>
              </v:group>
              <w10:wrap anchorx="margin"/>
            </v:group>
          </w:pict>
        </mc:Fallback>
      </mc:AlternateContent>
    </w:r>
    <w:r>
      <w:rPr>
        <w:rFonts w:ascii="Times New Roman"/>
        <w:noProof/>
      </w:rPr>
      <w:drawing>
        <wp:anchor distT="0" distB="0" distL="114300" distR="114300" simplePos="0" relativeHeight="251658752" behindDoc="1" locked="0" layoutInCell="1" allowOverlap="1" wp14:anchorId="1918EFB6" wp14:editId="6CB0DFFF">
          <wp:simplePos x="0" y="0"/>
          <wp:positionH relativeFrom="margin">
            <wp:align>right</wp:align>
          </wp:positionH>
          <wp:positionV relativeFrom="paragraph">
            <wp:posOffset>417830</wp:posOffset>
          </wp:positionV>
          <wp:extent cx="2462530" cy="207010"/>
          <wp:effectExtent l="0" t="0" r="0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3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28D">
      <w:rPr>
        <w:rFonts w:ascii="Times New Roman"/>
        <w:noProof/>
        <w:position w:val="2"/>
      </w:rPr>
      <w:drawing>
        <wp:anchor distT="0" distB="0" distL="114300" distR="114300" simplePos="0" relativeHeight="251655680" behindDoc="0" locked="0" layoutInCell="1" allowOverlap="1" wp14:anchorId="588E3365" wp14:editId="625689F9">
          <wp:simplePos x="0" y="0"/>
          <wp:positionH relativeFrom="column">
            <wp:posOffset>335280</wp:posOffset>
          </wp:positionH>
          <wp:positionV relativeFrom="page">
            <wp:posOffset>228600</wp:posOffset>
          </wp:positionV>
          <wp:extent cx="594360" cy="832104"/>
          <wp:effectExtent l="0" t="0" r="0" b="0"/>
          <wp:wrapTopAndBottom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83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F5AE5D" w14:textId="77777777" w:rsidR="00B0263D" w:rsidRDefault="00B0263D" w:rsidP="002F52DD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14:paraId="162F015A" w14:textId="77777777" w:rsidR="00B0263D" w:rsidRDefault="003C1F10" w:rsidP="00030469">
    <w:pPr>
      <w:spacing w:before="1" w:line="288" w:lineRule="exact"/>
      <w:ind w:right="8460"/>
      <w:jc w:val="center"/>
      <w:rPr>
        <w:rFonts w:ascii="Lucida Sans Unicode" w:eastAsia="Lucida Sans Unicode" w:hAnsi="Lucida Sans Unicode" w:cs="Lucida Sans Unicode"/>
      </w:rPr>
    </w:pPr>
    <w:r>
      <w:rPr>
        <w:rFonts w:ascii="Avenir LT Std 65 Medium" w:hAnsi="Avenir LT Std 65 Medium"/>
        <w:color w:val="2B3890"/>
        <w:w w:val="95"/>
        <w:position w:val="1"/>
      </w:rPr>
      <w:t>Todd M. Turner</w:t>
    </w:r>
  </w:p>
  <w:p w14:paraId="24538BD3" w14:textId="77777777" w:rsidR="00B0263D" w:rsidRDefault="00026530" w:rsidP="00030469">
    <w:pPr>
      <w:pStyle w:val="Heading1"/>
      <w:spacing w:line="183" w:lineRule="exact"/>
      <w:ind w:left="0" w:right="8460"/>
      <w:jc w:val="center"/>
    </w:pPr>
    <w:r>
      <w:rPr>
        <w:color w:val="2B3890"/>
      </w:rPr>
      <w:t>Chair</w:t>
    </w:r>
  </w:p>
  <w:p w14:paraId="3427E4FC" w14:textId="77777777" w:rsidR="00B0263D" w:rsidRDefault="009F4EAF" w:rsidP="00030469">
    <w:pPr>
      <w:spacing w:line="231" w:lineRule="exact"/>
      <w:ind w:right="8460"/>
      <w:jc w:val="center"/>
      <w:rPr>
        <w:rFonts w:ascii="Avenir LT Std 35 Light" w:eastAsia="Avenir LT Std 35 Light" w:hAnsi="Avenir LT Std 35 Light" w:cs="Avenir LT Std 35 Light"/>
        <w:sz w:val="20"/>
        <w:szCs w:val="20"/>
      </w:rPr>
    </w:pPr>
    <w:r>
      <w:rPr>
        <w:rFonts w:ascii="Avenir LT Std 35 Light"/>
        <w:color w:val="2B3890"/>
        <w:sz w:val="20"/>
      </w:rPr>
      <w:t xml:space="preserve">District </w:t>
    </w:r>
    <w:r w:rsidR="003C1F10">
      <w:rPr>
        <w:rFonts w:ascii="Avenir LT Std 35 Light"/>
        <w:color w:val="2B3890"/>
        <w:sz w:val="20"/>
      </w:rPr>
      <w:t>4</w:t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55EF23D8" w14:textId="77777777" w:rsidR="00422659" w:rsidRDefault="00422659">
        <w:pPr>
          <w:pStyle w:val="Header"/>
          <w:jc w:val="right"/>
        </w:pPr>
        <w:r>
          <w:t xml:space="preserve">Prince George’s County </w:t>
        </w:r>
        <w:r w:rsidRPr="00422659">
          <w:t xml:space="preserve">Food Security Task Force </w:t>
        </w:r>
      </w:p>
      <w:p w14:paraId="523EEC63" w14:textId="77777777" w:rsidR="00422659" w:rsidRDefault="00422659">
        <w:pPr>
          <w:pStyle w:val="Header"/>
          <w:jc w:val="right"/>
        </w:pPr>
        <w:r>
          <w:t>October 2, 2020 Meeting Minutes</w:t>
        </w:r>
      </w:p>
      <w:p w14:paraId="52FF606A" w14:textId="77777777" w:rsidR="00422659" w:rsidRDefault="00422659">
        <w:pPr>
          <w:pStyle w:val="Header"/>
          <w:jc w:val="right"/>
        </w:pPr>
        <w:r>
          <w:t xml:space="preserve">Page </w:t>
        </w:r>
        <w:r w:rsidRPr="00422659">
          <w:rPr>
            <w:bCs/>
            <w:sz w:val="24"/>
            <w:szCs w:val="24"/>
          </w:rPr>
          <w:fldChar w:fldCharType="begin"/>
        </w:r>
        <w:r w:rsidRPr="00422659">
          <w:rPr>
            <w:bCs/>
          </w:rPr>
          <w:instrText xml:space="preserve"> PAGE </w:instrText>
        </w:r>
        <w:r w:rsidRPr="00422659">
          <w:rPr>
            <w:bCs/>
            <w:sz w:val="24"/>
            <w:szCs w:val="24"/>
          </w:rPr>
          <w:fldChar w:fldCharType="separate"/>
        </w:r>
        <w:r w:rsidRPr="00422659">
          <w:rPr>
            <w:bCs/>
            <w:noProof/>
          </w:rPr>
          <w:t>2</w:t>
        </w:r>
        <w:r w:rsidRPr="00422659">
          <w:rPr>
            <w:bCs/>
            <w:sz w:val="24"/>
            <w:szCs w:val="24"/>
          </w:rPr>
          <w:fldChar w:fldCharType="end"/>
        </w:r>
        <w:r>
          <w:t xml:space="preserve"> of </w:t>
        </w:r>
        <w:r w:rsidRPr="00422659">
          <w:rPr>
            <w:bCs/>
            <w:sz w:val="24"/>
            <w:szCs w:val="24"/>
          </w:rPr>
          <w:fldChar w:fldCharType="begin"/>
        </w:r>
        <w:r w:rsidRPr="00422659">
          <w:rPr>
            <w:bCs/>
          </w:rPr>
          <w:instrText xml:space="preserve"> NUMPAGES  </w:instrText>
        </w:r>
        <w:r w:rsidRPr="00422659">
          <w:rPr>
            <w:bCs/>
            <w:sz w:val="24"/>
            <w:szCs w:val="24"/>
          </w:rPr>
          <w:fldChar w:fldCharType="separate"/>
        </w:r>
        <w:r w:rsidRPr="00422659">
          <w:rPr>
            <w:bCs/>
            <w:noProof/>
          </w:rPr>
          <w:t>2</w:t>
        </w:r>
        <w:r w:rsidRPr="00422659">
          <w:rPr>
            <w:bCs/>
            <w:sz w:val="24"/>
            <w:szCs w:val="24"/>
          </w:rPr>
          <w:fldChar w:fldCharType="end"/>
        </w:r>
      </w:p>
    </w:sdtContent>
  </w:sdt>
  <w:p w14:paraId="2A22A32B" w14:textId="77777777" w:rsidR="00BC0B61" w:rsidRPr="00BC0B61" w:rsidRDefault="00BC0B61" w:rsidP="00BC0B61">
    <w:pPr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E1"/>
    <w:multiLevelType w:val="multilevel"/>
    <w:tmpl w:val="974483FE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05E710AB"/>
    <w:multiLevelType w:val="hybridMultilevel"/>
    <w:tmpl w:val="61FEE95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E394F08"/>
    <w:multiLevelType w:val="multilevel"/>
    <w:tmpl w:val="64544D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9973A9C"/>
    <w:multiLevelType w:val="multilevel"/>
    <w:tmpl w:val="70E0A8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1EA17C1"/>
    <w:multiLevelType w:val="multilevel"/>
    <w:tmpl w:val="EB48DB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8511C1F"/>
    <w:multiLevelType w:val="multilevel"/>
    <w:tmpl w:val="3048B91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6" w15:restartNumberingAfterBreak="0">
    <w:nsid w:val="5202547C"/>
    <w:multiLevelType w:val="multilevel"/>
    <w:tmpl w:val="C1380F0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 w15:restartNumberingAfterBreak="0">
    <w:nsid w:val="63C432B9"/>
    <w:multiLevelType w:val="multilevel"/>
    <w:tmpl w:val="47CE18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4962DA7"/>
    <w:multiLevelType w:val="multilevel"/>
    <w:tmpl w:val="5CCC9A7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AA016F"/>
    <w:multiLevelType w:val="multilevel"/>
    <w:tmpl w:val="43AA63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5E6D2E"/>
    <w:multiLevelType w:val="multilevel"/>
    <w:tmpl w:val="856C2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B60334"/>
    <w:multiLevelType w:val="multilevel"/>
    <w:tmpl w:val="2D961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7"/>
    <w:rsid w:val="00003A77"/>
    <w:rsid w:val="0001336A"/>
    <w:rsid w:val="000167D4"/>
    <w:rsid w:val="000209B0"/>
    <w:rsid w:val="00020A84"/>
    <w:rsid w:val="00026530"/>
    <w:rsid w:val="00026779"/>
    <w:rsid w:val="00030469"/>
    <w:rsid w:val="0006628D"/>
    <w:rsid w:val="00092767"/>
    <w:rsid w:val="000D1B35"/>
    <w:rsid w:val="000D6EBE"/>
    <w:rsid w:val="0010197F"/>
    <w:rsid w:val="00131A3E"/>
    <w:rsid w:val="001331ED"/>
    <w:rsid w:val="00137003"/>
    <w:rsid w:val="00153770"/>
    <w:rsid w:val="0017594F"/>
    <w:rsid w:val="00192685"/>
    <w:rsid w:val="00197701"/>
    <w:rsid w:val="001B7B6C"/>
    <w:rsid w:val="001D059A"/>
    <w:rsid w:val="0020365F"/>
    <w:rsid w:val="002245C0"/>
    <w:rsid w:val="00231FB1"/>
    <w:rsid w:val="00243430"/>
    <w:rsid w:val="0027129B"/>
    <w:rsid w:val="00272322"/>
    <w:rsid w:val="00283DB5"/>
    <w:rsid w:val="002A435E"/>
    <w:rsid w:val="002B2858"/>
    <w:rsid w:val="002B4EDA"/>
    <w:rsid w:val="002C6DBE"/>
    <w:rsid w:val="002C7C5E"/>
    <w:rsid w:val="002D1A77"/>
    <w:rsid w:val="002D3735"/>
    <w:rsid w:val="002E4A60"/>
    <w:rsid w:val="002F52DD"/>
    <w:rsid w:val="0031440B"/>
    <w:rsid w:val="0036510D"/>
    <w:rsid w:val="00365F00"/>
    <w:rsid w:val="00397D1E"/>
    <w:rsid w:val="003B2445"/>
    <w:rsid w:val="003C1F10"/>
    <w:rsid w:val="003F5366"/>
    <w:rsid w:val="003F71A7"/>
    <w:rsid w:val="00422659"/>
    <w:rsid w:val="004D4DE9"/>
    <w:rsid w:val="004D6FF6"/>
    <w:rsid w:val="004E5E04"/>
    <w:rsid w:val="004F4446"/>
    <w:rsid w:val="004F5000"/>
    <w:rsid w:val="00512ED6"/>
    <w:rsid w:val="005168D3"/>
    <w:rsid w:val="0052396C"/>
    <w:rsid w:val="00536CE4"/>
    <w:rsid w:val="00561F4A"/>
    <w:rsid w:val="00562307"/>
    <w:rsid w:val="005715E3"/>
    <w:rsid w:val="00577B2C"/>
    <w:rsid w:val="00594905"/>
    <w:rsid w:val="005E0A82"/>
    <w:rsid w:val="00602CC7"/>
    <w:rsid w:val="0062227E"/>
    <w:rsid w:val="00631FB9"/>
    <w:rsid w:val="00665356"/>
    <w:rsid w:val="00671C02"/>
    <w:rsid w:val="0067763E"/>
    <w:rsid w:val="00683EF3"/>
    <w:rsid w:val="00691814"/>
    <w:rsid w:val="0069703F"/>
    <w:rsid w:val="006A1CB9"/>
    <w:rsid w:val="006A4B78"/>
    <w:rsid w:val="006A5279"/>
    <w:rsid w:val="006B0788"/>
    <w:rsid w:val="006C2EC4"/>
    <w:rsid w:val="006C618D"/>
    <w:rsid w:val="006D4877"/>
    <w:rsid w:val="006D7AA8"/>
    <w:rsid w:val="006E69A4"/>
    <w:rsid w:val="006E7AA4"/>
    <w:rsid w:val="007071A4"/>
    <w:rsid w:val="00715FD6"/>
    <w:rsid w:val="00721B35"/>
    <w:rsid w:val="0073369B"/>
    <w:rsid w:val="00785E7E"/>
    <w:rsid w:val="007C3414"/>
    <w:rsid w:val="007D7FF4"/>
    <w:rsid w:val="00806B94"/>
    <w:rsid w:val="0081778D"/>
    <w:rsid w:val="008208A1"/>
    <w:rsid w:val="008518D3"/>
    <w:rsid w:val="0087573E"/>
    <w:rsid w:val="0087599D"/>
    <w:rsid w:val="0087666F"/>
    <w:rsid w:val="00887CBA"/>
    <w:rsid w:val="008D084E"/>
    <w:rsid w:val="008D675F"/>
    <w:rsid w:val="008E441B"/>
    <w:rsid w:val="008E7447"/>
    <w:rsid w:val="009043B0"/>
    <w:rsid w:val="00911E71"/>
    <w:rsid w:val="0093187E"/>
    <w:rsid w:val="00937356"/>
    <w:rsid w:val="00945AF6"/>
    <w:rsid w:val="00956075"/>
    <w:rsid w:val="00980464"/>
    <w:rsid w:val="00985D4F"/>
    <w:rsid w:val="009B23F8"/>
    <w:rsid w:val="009B2F50"/>
    <w:rsid w:val="009B7A50"/>
    <w:rsid w:val="009E0F4D"/>
    <w:rsid w:val="009E1D96"/>
    <w:rsid w:val="009E7CA6"/>
    <w:rsid w:val="009F4EAF"/>
    <w:rsid w:val="00A069B8"/>
    <w:rsid w:val="00A139DC"/>
    <w:rsid w:val="00A2089A"/>
    <w:rsid w:val="00A3407C"/>
    <w:rsid w:val="00A36F66"/>
    <w:rsid w:val="00A448D5"/>
    <w:rsid w:val="00A6254E"/>
    <w:rsid w:val="00A7531A"/>
    <w:rsid w:val="00A81FA5"/>
    <w:rsid w:val="00AA6A75"/>
    <w:rsid w:val="00AC16BD"/>
    <w:rsid w:val="00AC6C01"/>
    <w:rsid w:val="00B0263D"/>
    <w:rsid w:val="00B02DA0"/>
    <w:rsid w:val="00B16F5C"/>
    <w:rsid w:val="00B2274C"/>
    <w:rsid w:val="00B369CF"/>
    <w:rsid w:val="00B57663"/>
    <w:rsid w:val="00B77C3F"/>
    <w:rsid w:val="00B85C4D"/>
    <w:rsid w:val="00BA4775"/>
    <w:rsid w:val="00BA6495"/>
    <w:rsid w:val="00BB4421"/>
    <w:rsid w:val="00BC0B61"/>
    <w:rsid w:val="00BC637A"/>
    <w:rsid w:val="00BE07AE"/>
    <w:rsid w:val="00BE6717"/>
    <w:rsid w:val="00BF6B4E"/>
    <w:rsid w:val="00C05504"/>
    <w:rsid w:val="00C1282F"/>
    <w:rsid w:val="00C26F13"/>
    <w:rsid w:val="00C32B3B"/>
    <w:rsid w:val="00C348F5"/>
    <w:rsid w:val="00C365AE"/>
    <w:rsid w:val="00C55B81"/>
    <w:rsid w:val="00C569AE"/>
    <w:rsid w:val="00C56A27"/>
    <w:rsid w:val="00C62D98"/>
    <w:rsid w:val="00C658EE"/>
    <w:rsid w:val="00C91715"/>
    <w:rsid w:val="00C9336A"/>
    <w:rsid w:val="00C94A89"/>
    <w:rsid w:val="00CA027C"/>
    <w:rsid w:val="00CA2B46"/>
    <w:rsid w:val="00CB79B0"/>
    <w:rsid w:val="00CC43F2"/>
    <w:rsid w:val="00CD6D09"/>
    <w:rsid w:val="00D0476F"/>
    <w:rsid w:val="00D6224A"/>
    <w:rsid w:val="00D76238"/>
    <w:rsid w:val="00D8494C"/>
    <w:rsid w:val="00D8572D"/>
    <w:rsid w:val="00DB5D50"/>
    <w:rsid w:val="00DB69DC"/>
    <w:rsid w:val="00DE4E19"/>
    <w:rsid w:val="00DE4E57"/>
    <w:rsid w:val="00E0630C"/>
    <w:rsid w:val="00E41742"/>
    <w:rsid w:val="00E5591C"/>
    <w:rsid w:val="00E753CC"/>
    <w:rsid w:val="00E86201"/>
    <w:rsid w:val="00E90A27"/>
    <w:rsid w:val="00E922FD"/>
    <w:rsid w:val="00EA35B1"/>
    <w:rsid w:val="00ED0707"/>
    <w:rsid w:val="00ED4E70"/>
    <w:rsid w:val="00F56964"/>
    <w:rsid w:val="00F56AEF"/>
    <w:rsid w:val="00F85D06"/>
    <w:rsid w:val="00FA2B47"/>
    <w:rsid w:val="00FC1575"/>
    <w:rsid w:val="00FC5628"/>
    <w:rsid w:val="00FC6902"/>
    <w:rsid w:val="00FE4ECE"/>
    <w:rsid w:val="00FE68E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13DE"/>
  <w15:docId w15:val="{C48FC604-7262-4184-B047-21F3DB36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401"/>
      <w:outlineLvl w:val="0"/>
    </w:pPr>
    <w:rPr>
      <w:rFonts w:ascii="Avenir LT Std 35 Light" w:eastAsia="Avenir LT Std 35 Light" w:hAnsi="Avenir LT Std 35 Ligh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Avenir LT Std 35 Light" w:eastAsia="Avenir LT Std 35 Light" w:hAnsi="Avenir LT Std 35 Light"/>
      <w:sz w:val="18"/>
      <w:szCs w:val="18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5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00"/>
  </w:style>
  <w:style w:type="paragraph" w:styleId="Footer">
    <w:name w:val="footer"/>
    <w:basedOn w:val="Normal"/>
    <w:link w:val="FooterChar"/>
    <w:uiPriority w:val="99"/>
    <w:unhideWhenUsed/>
    <w:rsid w:val="00365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00"/>
  </w:style>
  <w:style w:type="paragraph" w:styleId="BalloonText">
    <w:name w:val="Balloon Text"/>
    <w:basedOn w:val="Normal"/>
    <w:link w:val="BalloonTextChar"/>
    <w:uiPriority w:val="99"/>
    <w:semiHidden/>
    <w:unhideWhenUsed/>
    <w:rsid w:val="00365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0263D"/>
    <w:rPr>
      <w:rFonts w:ascii="Avenir LT Std 35 Light" w:eastAsia="Avenir LT Std 35 Light" w:hAnsi="Avenir LT Std 35 Light"/>
      <w:sz w:val="20"/>
      <w:szCs w:val="20"/>
    </w:rPr>
  </w:style>
  <w:style w:type="paragraph" w:styleId="Caption">
    <w:name w:val="caption"/>
    <w:basedOn w:val="Normal"/>
    <w:next w:val="Normal"/>
    <w:qFormat/>
    <w:rsid w:val="002E4A60"/>
    <w:pPr>
      <w:widowControl/>
      <w:jc w:val="center"/>
    </w:pPr>
    <w:rPr>
      <w:rFonts w:ascii="Times New Roman" w:eastAsia="Times New Roman" w:hAnsi="Times New Roman" w:cs="Times New Roman"/>
      <w:sz w:val="48"/>
      <w:szCs w:val="24"/>
    </w:rPr>
  </w:style>
  <w:style w:type="character" w:styleId="PlaceholderText">
    <w:name w:val="Placeholder Text"/>
    <w:basedOn w:val="DefaultParagraphFont"/>
    <w:uiPriority w:val="99"/>
    <w:semiHidden/>
    <w:rsid w:val="002E4A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AI_Letterhead</vt:lpstr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AI_Letterhead</dc:title>
  <dc:subject/>
  <dc:creator>MacWilliams, Kerry A.</dc:creator>
  <cp:keywords/>
  <dc:description/>
  <cp:lastModifiedBy>Eubanks, Sandra A.</cp:lastModifiedBy>
  <cp:revision>3</cp:revision>
  <cp:lastPrinted>2020-02-25T19:40:00Z</cp:lastPrinted>
  <dcterms:created xsi:type="dcterms:W3CDTF">2020-10-29T13:04:00Z</dcterms:created>
  <dcterms:modified xsi:type="dcterms:W3CDTF">2020-10-29T13:18:00Z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2018-12-06T00:00:00Z</vt:filetime>
  </property>
</Properties>
</file>